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61" w:rsidRPr="00672D61" w:rsidRDefault="00672D61" w:rsidP="00672D61">
      <w:pPr>
        <w:rPr>
          <w:sz w:val="28"/>
          <w:szCs w:val="28"/>
        </w:rPr>
      </w:pPr>
      <w:r w:rsidRPr="00672D61">
        <w:rPr>
          <w:sz w:val="28"/>
          <w:szCs w:val="28"/>
        </w:rPr>
        <w:t xml:space="preserve">Milé </w:t>
      </w:r>
      <w:proofErr w:type="spellStart"/>
      <w:r w:rsidRPr="00672D61">
        <w:rPr>
          <w:sz w:val="28"/>
          <w:szCs w:val="28"/>
        </w:rPr>
        <w:t>deťuše</w:t>
      </w:r>
      <w:proofErr w:type="spellEnd"/>
      <w:r w:rsidRPr="00672D61">
        <w:rPr>
          <w:sz w:val="28"/>
          <w:szCs w:val="28"/>
        </w:rPr>
        <w:t xml:space="preserve">, viem, že ťažko sa opakuje na diaľku, ale skúste si vypracovať tieto úlohy. Ak budete mať nejaký problém, stačí sa pozrieť do zošita hudobnej náuky. Ten vám pomôže. Úlohy </w:t>
      </w:r>
      <w:r w:rsidRPr="00672D61">
        <w:rPr>
          <w:b/>
          <w:sz w:val="28"/>
          <w:szCs w:val="28"/>
        </w:rPr>
        <w:t>nemusíte</w:t>
      </w:r>
      <w:r w:rsidRPr="00672D61">
        <w:rPr>
          <w:sz w:val="28"/>
          <w:szCs w:val="28"/>
        </w:rPr>
        <w:t xml:space="preserve"> vypracovať počas jedného dňa. Dúfam, že sa skoro  stretneme. Teším sa na vás. M.T.</w:t>
      </w:r>
    </w:p>
    <w:p w:rsidR="00910F9D" w:rsidRPr="00910F9D" w:rsidRDefault="00910F9D" w:rsidP="00910F9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názvy nôt</w:t>
      </w:r>
    </w:p>
    <w:p w:rsidR="00910F9D" w:rsidRDefault="00910F9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1514347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9D" w:rsidRDefault="00910F9D" w:rsidP="00910F9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chýbajúce béčka</w:t>
      </w:r>
    </w:p>
    <w:p w:rsidR="00910F9D" w:rsidRDefault="00910F9D" w:rsidP="00910F9D">
      <w:pPr>
        <w:rPr>
          <w:sz w:val="24"/>
          <w:szCs w:val="24"/>
        </w:rPr>
      </w:pPr>
      <w:r w:rsidRPr="00910F9D">
        <w:rPr>
          <w:noProof/>
          <w:sz w:val="24"/>
          <w:szCs w:val="24"/>
        </w:rPr>
        <w:drawing>
          <wp:inline distT="0" distB="0" distL="0" distR="0">
            <wp:extent cx="5518108" cy="1075174"/>
            <wp:effectExtent l="19050" t="0" r="6392" b="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16" cy="107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9D" w:rsidRDefault="00910F9D" w:rsidP="00910F9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Doplň tóny stupnice, pomenuj ich, doplň poltóny, T,S,D a dopíš </w:t>
      </w:r>
      <w:proofErr w:type="spellStart"/>
      <w:r>
        <w:rPr>
          <w:sz w:val="24"/>
          <w:szCs w:val="24"/>
        </w:rPr>
        <w:t>kvintakord</w:t>
      </w:r>
      <w:proofErr w:type="spellEnd"/>
    </w:p>
    <w:p w:rsidR="00910F9D" w:rsidRDefault="00910F9D" w:rsidP="00910F9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985842"/>
            <wp:effectExtent l="1905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2D6" w:rsidRDefault="000072D6" w:rsidP="000072D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intervaly, nezabudni, že prvá nota nám označuje stupnicu!</w:t>
      </w:r>
    </w:p>
    <w:p w:rsidR="00AA46FB" w:rsidRDefault="000072D6" w:rsidP="004C3A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1526733"/>
            <wp:effectExtent l="19050" t="0" r="0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A02">
        <w:rPr>
          <w:sz w:val="24"/>
          <w:szCs w:val="24"/>
        </w:rPr>
        <w:t xml:space="preserve"> </w:t>
      </w:r>
    </w:p>
    <w:p w:rsidR="00AA46FB" w:rsidRDefault="00AA46FB" w:rsidP="004C3A02">
      <w:pPr>
        <w:rPr>
          <w:sz w:val="24"/>
          <w:szCs w:val="24"/>
        </w:rPr>
      </w:pPr>
    </w:p>
    <w:p w:rsidR="00AA46FB" w:rsidRDefault="00AA46FB" w:rsidP="004C3A02">
      <w:pPr>
        <w:rPr>
          <w:sz w:val="24"/>
          <w:szCs w:val="24"/>
        </w:rPr>
      </w:pPr>
    </w:p>
    <w:p w:rsidR="00AA46FB" w:rsidRPr="00AA46FB" w:rsidRDefault="00AA46FB" w:rsidP="00AA46FB">
      <w:pPr>
        <w:ind w:left="360"/>
        <w:rPr>
          <w:sz w:val="24"/>
          <w:szCs w:val="24"/>
        </w:rPr>
      </w:pPr>
    </w:p>
    <w:p w:rsidR="00AA46FB" w:rsidRDefault="00AA46FB" w:rsidP="00AA46FB">
      <w:pPr>
        <w:pStyle w:val="Odsekzoznamu"/>
        <w:rPr>
          <w:sz w:val="24"/>
          <w:szCs w:val="24"/>
        </w:rPr>
      </w:pPr>
    </w:p>
    <w:p w:rsidR="004C3A02" w:rsidRPr="00AA46FB" w:rsidRDefault="00AA46FB" w:rsidP="00AA46FB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AA46FB">
        <w:rPr>
          <w:sz w:val="24"/>
          <w:szCs w:val="24"/>
        </w:rPr>
        <w:t>A túto tajničku hravo zvládneš</w:t>
      </w:r>
    </w:p>
    <w:tbl>
      <w:tblPr>
        <w:tblW w:w="1109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52"/>
        <w:gridCol w:w="303"/>
        <w:gridCol w:w="360"/>
        <w:gridCol w:w="360"/>
        <w:gridCol w:w="363"/>
        <w:gridCol w:w="357"/>
        <w:gridCol w:w="363"/>
        <w:gridCol w:w="393"/>
        <w:gridCol w:w="363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19"/>
        <w:gridCol w:w="4618"/>
      </w:tblGrid>
      <w:tr w:rsid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sz w:val="18"/>
                <w:szCs w:val="18"/>
              </w:rPr>
              <w:t>Strunový nástroj, väčší ako husle</w:t>
            </w:r>
          </w:p>
        </w:tc>
      </w:tr>
      <w:tr w:rsid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sz w:val="18"/>
                <w:szCs w:val="18"/>
              </w:rPr>
              <w:t>Rezký ľudový tanec</w:t>
            </w:r>
          </w:p>
        </w:tc>
      </w:tr>
      <w:tr w:rsid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Default="00AA46FB" w:rsidP="00CC4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sz w:val="18"/>
                <w:szCs w:val="18"/>
              </w:rPr>
              <w:t xml:space="preserve">Strunový nástroj, najviac používaný v </w:t>
            </w:r>
          </w:p>
          <w:p w:rsidR="00AA46FB" w:rsidRP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sz w:val="18"/>
                <w:szCs w:val="18"/>
              </w:rPr>
              <w:t>ľudových hudbách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sz w:val="18"/>
                <w:szCs w:val="18"/>
              </w:rPr>
              <w:t>Rad ôsmich za sebou nasledujúcich tónov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AA46FB">
              <w:rPr>
                <w:rFonts w:asciiTheme="majorHAnsi" w:hAnsiTheme="majorHAnsi" w:cs="Arial"/>
                <w:sz w:val="18"/>
                <w:szCs w:val="18"/>
              </w:rPr>
              <w:t>Posuv</w:t>
            </w:r>
            <w:r>
              <w:rPr>
                <w:rFonts w:asciiTheme="majorHAnsi" w:hAnsiTheme="majorHAnsi" w:cs="Arial"/>
                <w:sz w:val="18"/>
                <w:szCs w:val="18"/>
              </w:rPr>
              <w:t>ka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</w:rPr>
              <w:t>, ktorá zvyšuje tón o pol tón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Hudobné dielo, v ktorom sa dej znázorňuje spevom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Ľudové oblečenie bežne používané v minulosti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Piesne o zbojníkoch sa nazývajú ...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Autor hudobného diela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Krížik a béčko sa nazývajú predznamenania alebo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Predznamenanie, ktoré ruší </w:t>
            </w:r>
            <w:proofErr w:type="spellStart"/>
            <w:r>
              <w:rPr>
                <w:rFonts w:asciiTheme="majorHAnsi" w:hAnsiTheme="majorHAnsi" w:cs="Arial"/>
                <w:sz w:val="16"/>
                <w:szCs w:val="16"/>
              </w:rPr>
              <w:t>posu</w:t>
            </w:r>
            <w:r w:rsidRPr="00AA46FB">
              <w:rPr>
                <w:rFonts w:asciiTheme="majorHAnsi" w:hAnsiTheme="majorHAnsi" w:cs="Arial"/>
                <w:sz w:val="16"/>
                <w:szCs w:val="16"/>
              </w:rPr>
              <w:t>vky</w:t>
            </w:r>
            <w:proofErr w:type="spellEnd"/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Ľudové piesne spievané na poliach sa nazývajú...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Piesne, ktoré nemajú známeho autora sú ...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Značky, ktorými zapisujeme melódiu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Tón "e" zníž</w:t>
            </w:r>
            <w:r>
              <w:rPr>
                <w:rFonts w:asciiTheme="majorHAnsi" w:hAnsiTheme="majorHAnsi" w:cs="Arial"/>
                <w:sz w:val="16"/>
                <w:szCs w:val="16"/>
              </w:rPr>
              <w:t>ený o pol tón</w:t>
            </w:r>
          </w:p>
        </w:tc>
      </w:tr>
      <w:tr w:rsidR="00AA46FB" w:rsidRPr="00AA46FB" w:rsidTr="00CC498E">
        <w:trPr>
          <w:trHeight w:val="34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A46FB">
              <w:rPr>
                <w:rFonts w:asciiTheme="majorHAnsi" w:hAnsiTheme="majorHAnsi" w:cs="Arial"/>
                <w:sz w:val="16"/>
                <w:szCs w:val="16"/>
              </w:rPr>
              <w:t>?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46FB" w:rsidRPr="00AA46FB" w:rsidRDefault="00AA46FB" w:rsidP="00CC498E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AA46FB" w:rsidRPr="00AA46FB" w:rsidRDefault="00AA46FB" w:rsidP="00AA46FB">
      <w:pPr>
        <w:jc w:val="center"/>
        <w:rPr>
          <w:rFonts w:asciiTheme="majorHAnsi" w:hAnsiTheme="majorHAnsi"/>
          <w:sz w:val="16"/>
          <w:szCs w:val="16"/>
        </w:rPr>
      </w:pPr>
    </w:p>
    <w:p w:rsidR="00AA46FB" w:rsidRDefault="00AA46FB" w:rsidP="00AA46FB"/>
    <w:p w:rsidR="00AA46FB" w:rsidRPr="000F1F58" w:rsidRDefault="00AA46FB" w:rsidP="00AA46FB">
      <w:pPr>
        <w:rPr>
          <w:sz w:val="32"/>
          <w:szCs w:val="32"/>
        </w:rPr>
      </w:pPr>
      <w:r w:rsidRPr="000F1F58">
        <w:rPr>
          <w:sz w:val="32"/>
          <w:szCs w:val="32"/>
        </w:rPr>
        <w:t xml:space="preserve">______________________________________ (tajnička) </w:t>
      </w:r>
    </w:p>
    <w:p w:rsidR="00AA46FB" w:rsidRPr="000F1F58" w:rsidRDefault="00AA46FB" w:rsidP="00AA46FB">
      <w:pPr>
        <w:rPr>
          <w:sz w:val="32"/>
          <w:szCs w:val="32"/>
        </w:rPr>
      </w:pPr>
    </w:p>
    <w:p w:rsidR="00AA46FB" w:rsidRDefault="00AA46FB" w:rsidP="00AA46FB">
      <w:pPr>
        <w:rPr>
          <w:sz w:val="32"/>
          <w:szCs w:val="32"/>
        </w:rPr>
      </w:pPr>
      <w:r w:rsidRPr="000F1F58">
        <w:rPr>
          <w:sz w:val="32"/>
          <w:szCs w:val="32"/>
        </w:rPr>
        <w:t>To znamená, že si sa na hudobnej výchove niečo naučil. Výborná práca!</w:t>
      </w:r>
    </w:p>
    <w:p w:rsidR="00AA46FB" w:rsidRDefault="00AA46FB" w:rsidP="00AA46FB">
      <w:pPr>
        <w:rPr>
          <w:sz w:val="32"/>
          <w:szCs w:val="32"/>
        </w:rPr>
      </w:pPr>
    </w:p>
    <w:p w:rsidR="004C3A02" w:rsidRDefault="004C3A02" w:rsidP="004C3A02">
      <w:pPr>
        <w:rPr>
          <w:sz w:val="24"/>
          <w:szCs w:val="24"/>
        </w:rPr>
      </w:pPr>
    </w:p>
    <w:p w:rsidR="004C3A02" w:rsidRDefault="004C3A02" w:rsidP="004C3A02">
      <w:pPr>
        <w:rPr>
          <w:sz w:val="24"/>
          <w:szCs w:val="24"/>
        </w:rPr>
      </w:pPr>
    </w:p>
    <w:p w:rsidR="00AA46FB" w:rsidRDefault="00AA46FB" w:rsidP="004C3A02">
      <w:pPr>
        <w:rPr>
          <w:sz w:val="24"/>
          <w:szCs w:val="24"/>
        </w:rPr>
      </w:pPr>
    </w:p>
    <w:p w:rsidR="00AA46FB" w:rsidRDefault="00AA46FB" w:rsidP="004C3A02">
      <w:pPr>
        <w:rPr>
          <w:sz w:val="24"/>
          <w:szCs w:val="24"/>
        </w:rPr>
      </w:pPr>
    </w:p>
    <w:p w:rsidR="004C3A02" w:rsidRDefault="004C3A02" w:rsidP="004C3A02">
      <w:r>
        <w:rPr>
          <w:sz w:val="24"/>
          <w:szCs w:val="24"/>
        </w:rPr>
        <w:t xml:space="preserve"> 5. </w:t>
      </w:r>
      <w:r>
        <w:t xml:space="preserve">Trúfaš si pomenovať tieto hudobné nástroje? Možno ti pomôže aj táto stránka   </w:t>
      </w:r>
      <w:hyperlink r:id="rId9" w:history="1">
        <w:r w:rsidRPr="00F55F84">
          <w:rPr>
            <w:rStyle w:val="Hypertextovprepojenie"/>
          </w:rPr>
          <w:t>https://www.youtube.com/watch?v=-MH0xpnuZek</w:t>
        </w:r>
      </w:hyperlink>
      <w:r>
        <w:t xml:space="preserve">  (</w:t>
      </w:r>
      <w:proofErr w:type="spellStart"/>
      <w:r>
        <w:t>Proxík</w:t>
      </w:r>
      <w:proofErr w:type="spellEnd"/>
      <w:r>
        <w:t xml:space="preserve"> a hudobné nástroje)</w:t>
      </w:r>
    </w:p>
    <w:p w:rsidR="004C3A02" w:rsidRDefault="004C3A02" w:rsidP="004C3A02"/>
    <w:p w:rsidR="004C3A02" w:rsidRPr="004C3A02" w:rsidRDefault="004C3A02" w:rsidP="004C3A02">
      <w:pPr>
        <w:rPr>
          <w:sz w:val="24"/>
          <w:szCs w:val="24"/>
        </w:rPr>
      </w:pPr>
    </w:p>
    <w:p w:rsidR="004C3A02" w:rsidRDefault="004C3A02" w:rsidP="004C3A02">
      <w:pPr>
        <w:spacing w:after="0" w:line="240" w:lineRule="auto"/>
      </w:pPr>
    </w:p>
    <w:p w:rsidR="004C3A02" w:rsidRDefault="004C3A02" w:rsidP="004C3A02">
      <w:pPr>
        <w:spacing w:after="0" w:line="240" w:lineRule="auto"/>
        <w:rPr>
          <w:noProof/>
        </w:rPr>
      </w:pPr>
      <w:r w:rsidRPr="004C3A02">
        <w:rPr>
          <w:noProof/>
        </w:rPr>
        <w:drawing>
          <wp:inline distT="0" distB="0" distL="0" distR="0">
            <wp:extent cx="5760720" cy="3404928"/>
            <wp:effectExtent l="19050" t="0" r="0" b="0"/>
            <wp:docPr id="7" name="Obrázok 1" descr="C:\Users\admin\Desktop\thumb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humb.php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A02" w:rsidRDefault="004C3A02" w:rsidP="004C3A02">
      <w:pPr>
        <w:spacing w:after="0" w:line="240" w:lineRule="auto"/>
        <w:rPr>
          <w:noProof/>
        </w:rPr>
      </w:pPr>
    </w:p>
    <w:p w:rsidR="004C3A02" w:rsidRDefault="004C3A02" w:rsidP="004C3A02">
      <w:pPr>
        <w:spacing w:after="0" w:line="240" w:lineRule="auto"/>
        <w:rPr>
          <w:noProof/>
        </w:rPr>
      </w:pPr>
    </w:p>
    <w:p w:rsidR="004C3A02" w:rsidRPr="000072D6" w:rsidRDefault="004C3A02" w:rsidP="000072D6">
      <w:pPr>
        <w:rPr>
          <w:sz w:val="24"/>
          <w:szCs w:val="24"/>
        </w:rPr>
      </w:pPr>
    </w:p>
    <w:sectPr w:rsidR="004C3A02" w:rsidRPr="000072D6" w:rsidSect="008E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4E0"/>
    <w:multiLevelType w:val="hybridMultilevel"/>
    <w:tmpl w:val="2AC8AFC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C18E4"/>
    <w:multiLevelType w:val="hybridMultilevel"/>
    <w:tmpl w:val="88EC3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83E9D"/>
    <w:multiLevelType w:val="hybridMultilevel"/>
    <w:tmpl w:val="24401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910F9D"/>
    <w:rsid w:val="000072D6"/>
    <w:rsid w:val="004C3A02"/>
    <w:rsid w:val="00672D61"/>
    <w:rsid w:val="008E3988"/>
    <w:rsid w:val="00910F9D"/>
    <w:rsid w:val="00AA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F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10F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C3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MH0xpnuZe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2020-03-24T13:48:00Z</dcterms:created>
  <dcterms:modified xsi:type="dcterms:W3CDTF">2020-03-24T16:42:00Z</dcterms:modified>
</cp:coreProperties>
</file>